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E9F92" w14:textId="30C53899" w:rsidR="00215A8A" w:rsidRDefault="006E0BFA" w:rsidP="006E0BFA">
      <w:pPr>
        <w:pStyle w:val="Tytu"/>
        <w:rPr>
          <w:lang w:val="en-US"/>
        </w:rPr>
      </w:pPr>
      <w:r w:rsidRPr="006E0BFA">
        <w:rPr>
          <w:lang w:val="en-US"/>
        </w:rPr>
        <w:t xml:space="preserve">Green Switch Program by Signify: Driving </w:t>
      </w:r>
      <w:proofErr w:type="gramStart"/>
      <w:r w:rsidRPr="006E0BFA">
        <w:rPr>
          <w:lang w:val="en-US"/>
        </w:rPr>
        <w:t>the Energy</w:t>
      </w:r>
      <w:proofErr w:type="gramEnd"/>
      <w:r w:rsidRPr="006E0BFA">
        <w:rPr>
          <w:lang w:val="en-US"/>
        </w:rPr>
        <w:t xml:space="preserve"> Transition and Environmental Protection</w:t>
      </w:r>
    </w:p>
    <w:p w14:paraId="642A3928" w14:textId="6F5A9C56" w:rsidR="006E0BFA" w:rsidRDefault="006E0BFA" w:rsidP="006E0BFA">
      <w:pPr>
        <w:pStyle w:val="Podtytu"/>
        <w:rPr>
          <w:lang w:val="en-US"/>
        </w:rPr>
      </w:pPr>
      <w:r w:rsidRPr="006E0BFA">
        <w:rPr>
          <w:lang w:val="en-US"/>
        </w:rPr>
        <w:t>As a global leader in lighting, we have been consistently implementing innovative solutions aimed at improving and protecting the environment. One of the key pillars of our efforts is the </w:t>
      </w:r>
      <w:r w:rsidRPr="006E0BFA">
        <w:rPr>
          <w:b/>
          <w:bCs/>
          <w:lang w:val="en-US"/>
        </w:rPr>
        <w:t>Green Switch program</w:t>
      </w:r>
      <w:r w:rsidRPr="006E0BFA">
        <w:rPr>
          <w:lang w:val="en-US"/>
        </w:rPr>
        <w:t>, which promotes the transition to integrated LED light</w:t>
      </w:r>
      <w:r>
        <w:rPr>
          <w:lang w:val="en-US"/>
        </w:rPr>
        <w:t>.</w:t>
      </w:r>
    </w:p>
    <w:p w14:paraId="7DC510FE" w14:textId="042435A8" w:rsidR="006E0BFA" w:rsidRDefault="00131227" w:rsidP="00131227">
      <w:pPr>
        <w:pStyle w:val="Nagwek1"/>
        <w:rPr>
          <w:lang w:val="en-US"/>
        </w:rPr>
      </w:pPr>
      <w:r w:rsidRPr="00131227">
        <w:rPr>
          <w:lang w:val="en-US"/>
        </w:rPr>
        <w:t>Green Switch: Making the Switch to LED</w:t>
      </w:r>
    </w:p>
    <w:p w14:paraId="7380CAAC" w14:textId="77777777" w:rsidR="00131227" w:rsidRPr="00131227" w:rsidRDefault="00131227" w:rsidP="00131227">
      <w:r w:rsidRPr="00131227">
        <w:rPr>
          <w:lang w:val="en-US"/>
        </w:rPr>
        <w:t xml:space="preserve">Our Green Switch program focuses on replacing conventional light points with LED technology, delivering significant energy and environmental benefits. </w:t>
      </w:r>
      <w:proofErr w:type="spellStart"/>
      <w:r w:rsidRPr="00131227">
        <w:t>Switching</w:t>
      </w:r>
      <w:proofErr w:type="spellEnd"/>
      <w:r w:rsidRPr="00131227">
        <w:t xml:space="preserve"> to LED </w:t>
      </w:r>
      <w:proofErr w:type="spellStart"/>
      <w:r w:rsidRPr="00131227">
        <w:t>lighting</w:t>
      </w:r>
      <w:proofErr w:type="spellEnd"/>
      <w:r w:rsidRPr="00131227">
        <w:t xml:space="preserve"> </w:t>
      </w:r>
      <w:proofErr w:type="spellStart"/>
      <w:r w:rsidRPr="00131227">
        <w:t>enables</w:t>
      </w:r>
      <w:proofErr w:type="spellEnd"/>
      <w:r w:rsidRPr="00131227">
        <w:t>:</w:t>
      </w:r>
    </w:p>
    <w:p w14:paraId="2EEC0ADE" w14:textId="77777777" w:rsidR="00131227" w:rsidRPr="00131227" w:rsidRDefault="00131227" w:rsidP="00131227">
      <w:pPr>
        <w:numPr>
          <w:ilvl w:val="0"/>
          <w:numId w:val="1"/>
        </w:numPr>
        <w:rPr>
          <w:lang w:val="en-US"/>
        </w:rPr>
      </w:pPr>
      <w:r w:rsidRPr="00131227">
        <w:rPr>
          <w:b/>
          <w:bCs/>
          <w:lang w:val="en-US"/>
        </w:rPr>
        <w:t>Energy savings</w:t>
      </w:r>
      <w:r w:rsidRPr="00131227">
        <w:rPr>
          <w:lang w:val="en-US"/>
        </w:rPr>
        <w:t>: A reduction of 870 TWh in electricity consumption annually.</w:t>
      </w:r>
    </w:p>
    <w:p w14:paraId="3069AD28" w14:textId="77777777" w:rsidR="00131227" w:rsidRPr="00131227" w:rsidRDefault="00131227" w:rsidP="00131227">
      <w:pPr>
        <w:numPr>
          <w:ilvl w:val="0"/>
          <w:numId w:val="1"/>
        </w:numPr>
        <w:rPr>
          <w:lang w:val="en-US"/>
        </w:rPr>
      </w:pPr>
      <w:r w:rsidRPr="00131227">
        <w:rPr>
          <w:b/>
          <w:bCs/>
          <w:lang w:val="en-US"/>
        </w:rPr>
        <w:t>Lower CO₂ emissions</w:t>
      </w:r>
      <w:r w:rsidRPr="00131227">
        <w:rPr>
          <w:lang w:val="en-US"/>
        </w:rPr>
        <w:t>: A decrease of 420 million tons of CO₂ emissions per year.</w:t>
      </w:r>
    </w:p>
    <w:p w14:paraId="6124AE72" w14:textId="77777777" w:rsidR="00131227" w:rsidRPr="00131227" w:rsidRDefault="00131227" w:rsidP="00131227">
      <w:pPr>
        <w:numPr>
          <w:ilvl w:val="0"/>
          <w:numId w:val="1"/>
        </w:numPr>
        <w:rPr>
          <w:lang w:val="en-US"/>
        </w:rPr>
      </w:pPr>
      <w:r w:rsidRPr="00131227">
        <w:rPr>
          <w:b/>
          <w:bCs/>
          <w:lang w:val="en-US"/>
        </w:rPr>
        <w:t>Cost savings</w:t>
      </w:r>
      <w:r w:rsidRPr="00131227">
        <w:rPr>
          <w:lang w:val="en-US"/>
        </w:rPr>
        <w:t>: A reduction of €120 billion in electricity costs annually.</w:t>
      </w:r>
    </w:p>
    <w:p w14:paraId="71890A7F" w14:textId="702AA738" w:rsidR="00131227" w:rsidRDefault="00131227" w:rsidP="00131227">
      <w:pPr>
        <w:rPr>
          <w:rStyle w:val="Odwoaniedelikatne"/>
          <w:lang w:val="en-US"/>
        </w:rPr>
      </w:pPr>
      <w:r w:rsidRPr="00131227">
        <w:rPr>
          <w:rStyle w:val="Odwoaniedelikatne"/>
          <w:lang w:val="en-US"/>
        </w:rPr>
        <w:t>FIND OUT HOW DO WE DRIVE ENERGY TRANSITION AND SEE OUR JOURNEY SO FAR</w:t>
      </w:r>
    </w:p>
    <w:p w14:paraId="491173D4" w14:textId="6B5ED2F5" w:rsidR="00131227" w:rsidRDefault="00131227" w:rsidP="00131227">
      <w:pPr>
        <w:rPr>
          <w:rStyle w:val="Odwoaniedelikatne"/>
          <w:lang w:val="en-US"/>
        </w:rPr>
      </w:pPr>
      <w:hyperlink r:id="rId7" w:history="1">
        <w:r w:rsidRPr="00131227">
          <w:rPr>
            <w:rStyle w:val="Hipercze"/>
            <w:lang w:val="en-US"/>
          </w:rPr>
          <w:t>Our journey towards sustainability</w:t>
        </w:r>
      </w:hyperlink>
    </w:p>
    <w:p w14:paraId="1ED03143" w14:textId="3A538144" w:rsidR="00713918" w:rsidRDefault="00713918" w:rsidP="00131227">
      <w:pPr>
        <w:rPr>
          <w:rStyle w:val="Odwoaniedelikatne"/>
          <w:lang w:val="en-US"/>
        </w:rPr>
      </w:pPr>
      <w:hyperlink r:id="rId8" w:history="1">
        <w:r w:rsidRPr="00713918">
          <w:rPr>
            <w:rStyle w:val="Hipercze"/>
            <w:lang w:val="en-US"/>
          </w:rPr>
          <w:t>What is Green Switch</w:t>
        </w:r>
      </w:hyperlink>
    </w:p>
    <w:p w14:paraId="0C2BCF4E" w14:textId="6FC28789" w:rsidR="00713918" w:rsidRDefault="00713918" w:rsidP="00713918">
      <w:pPr>
        <w:pStyle w:val="Nagwek1"/>
      </w:pPr>
      <w:r w:rsidRPr="00713918">
        <w:t xml:space="preserve">Green Switch </w:t>
      </w:r>
      <w:proofErr w:type="spellStart"/>
      <w:r w:rsidRPr="00713918">
        <w:t>savings</w:t>
      </w:r>
      <w:proofErr w:type="spellEnd"/>
      <w:r w:rsidRPr="00713918">
        <w:t xml:space="preserve"> </w:t>
      </w:r>
      <w:proofErr w:type="spellStart"/>
      <w:r w:rsidRPr="00713918">
        <w:t>calculator</w:t>
      </w:r>
      <w:proofErr w:type="spellEnd"/>
    </w:p>
    <w:p w14:paraId="31844F91" w14:textId="77777777" w:rsidR="008A63F3" w:rsidRPr="008A63F3" w:rsidRDefault="008A63F3" w:rsidP="008A63F3">
      <w:pPr>
        <w:rPr>
          <w:lang w:val="en-US"/>
        </w:rPr>
      </w:pPr>
      <w:r w:rsidRPr="008A63F3">
        <w:rPr>
          <w:lang w:val="en-US"/>
        </w:rPr>
        <w:t>Responding to the needs of our customers, and to make it easier for our partners to switch to LED lighting, we have prepared a special Green Switch savings calculator.</w:t>
      </w:r>
    </w:p>
    <w:p w14:paraId="3BED3BE7" w14:textId="77777777" w:rsidR="008A63F3" w:rsidRPr="008A63F3" w:rsidRDefault="008A63F3" w:rsidP="008A63F3">
      <w:pPr>
        <w:rPr>
          <w:lang w:val="en-US"/>
        </w:rPr>
      </w:pPr>
      <w:r w:rsidRPr="008A63F3">
        <w:rPr>
          <w:b/>
          <w:bCs/>
          <w:lang w:val="en-US"/>
        </w:rPr>
        <w:t xml:space="preserve">Responding to the needs of our </w:t>
      </w:r>
      <w:proofErr w:type="gramStart"/>
      <w:r w:rsidRPr="008A63F3">
        <w:rPr>
          <w:b/>
          <w:bCs/>
          <w:lang w:val="en-US"/>
        </w:rPr>
        <w:t>Customers</w:t>
      </w:r>
      <w:proofErr w:type="gramEnd"/>
      <w:r w:rsidRPr="008A63F3">
        <w:rPr>
          <w:b/>
          <w:bCs/>
          <w:lang w:val="en-US"/>
        </w:rPr>
        <w:t>, and to make it easier for our Partners to switch to LED lighting, we have prepared a special Green Switch savings calculator. If you are curious how much You or Your Customers can save by upgrading to LED whether it is an office, estate or city lighting project, check out our latest calculator.</w:t>
      </w:r>
    </w:p>
    <w:p w14:paraId="3E4D479E" w14:textId="66722E40" w:rsidR="008A63F3" w:rsidRDefault="008A63F3" w:rsidP="008A63F3">
      <w:hyperlink r:id="rId9" w:history="1">
        <w:r w:rsidRPr="008A63F3">
          <w:rPr>
            <w:rStyle w:val="Hipercze"/>
          </w:rPr>
          <w:t xml:space="preserve">Start </w:t>
        </w:r>
        <w:proofErr w:type="spellStart"/>
        <w:r w:rsidRPr="008A63F3">
          <w:rPr>
            <w:rStyle w:val="Hipercze"/>
          </w:rPr>
          <w:t>calculations</w:t>
        </w:r>
        <w:proofErr w:type="spellEnd"/>
      </w:hyperlink>
    </w:p>
    <w:p w14:paraId="68BE9026" w14:textId="272B35AA" w:rsidR="00960693" w:rsidRPr="00761354" w:rsidRDefault="00960693" w:rsidP="00960693">
      <w:pPr>
        <w:jc w:val="center"/>
        <w:rPr>
          <w:lang w:val="en-US"/>
        </w:rPr>
      </w:pPr>
      <w:r w:rsidRPr="00761354">
        <w:rPr>
          <w:lang w:val="en-US"/>
        </w:rPr>
        <w:t>[INSERT IMAGE]</w:t>
      </w:r>
    </w:p>
    <w:p w14:paraId="50F0409E" w14:textId="3D913749" w:rsidR="00DA2DC1" w:rsidRPr="00761354" w:rsidRDefault="00DA2DC1" w:rsidP="00DA2DC1">
      <w:pPr>
        <w:pStyle w:val="Nagwek1"/>
        <w:rPr>
          <w:lang w:val="en-US"/>
        </w:rPr>
      </w:pPr>
      <w:r w:rsidRPr="00761354">
        <w:rPr>
          <w:lang w:val="en-US"/>
        </w:rPr>
        <w:lastRenderedPageBreak/>
        <w:t>Supporting Climate Transformation</w:t>
      </w:r>
    </w:p>
    <w:p w14:paraId="34E44BFB" w14:textId="63103532" w:rsidR="00DA2DC1" w:rsidRDefault="00DA2DC1" w:rsidP="00DA2DC1">
      <w:r w:rsidRPr="00DA2DC1">
        <w:rPr>
          <w:lang w:val="en-US"/>
        </w:rPr>
        <w:t xml:space="preserve">We estimate that there are 50 billion light points installed worldwide, many of which still rely on energy-inefficient technologies. Transitioning to LED lighting can have a major impact on global energy use. </w:t>
      </w:r>
      <w:r w:rsidRPr="00DA2DC1">
        <w:t xml:space="preserve">Through Green Switch, we </w:t>
      </w:r>
      <w:proofErr w:type="spellStart"/>
      <w:r w:rsidRPr="00DA2DC1">
        <w:t>support</w:t>
      </w:r>
      <w:proofErr w:type="spellEnd"/>
      <w:r w:rsidRPr="00DA2DC1">
        <w:t xml:space="preserve"> </w:t>
      </w:r>
      <w:proofErr w:type="spellStart"/>
      <w:r w:rsidRPr="00DA2DC1">
        <w:t>climate</w:t>
      </w:r>
      <w:proofErr w:type="spellEnd"/>
      <w:r w:rsidRPr="00DA2DC1">
        <w:t xml:space="preserve"> </w:t>
      </w:r>
      <w:proofErr w:type="spellStart"/>
      <w:r w:rsidRPr="00DA2DC1">
        <w:t>transformation</w:t>
      </w:r>
      <w:proofErr w:type="spellEnd"/>
      <w:r w:rsidRPr="00DA2DC1">
        <w:t xml:space="preserve"> by:</w:t>
      </w:r>
    </w:p>
    <w:p w14:paraId="2EB896C8" w14:textId="77777777" w:rsidR="00AE691E" w:rsidRPr="00AE691E" w:rsidRDefault="00AE691E" w:rsidP="00AE691E">
      <w:pPr>
        <w:numPr>
          <w:ilvl w:val="0"/>
          <w:numId w:val="2"/>
        </w:numPr>
        <w:rPr>
          <w:lang w:val="en-US"/>
        </w:rPr>
      </w:pPr>
      <w:r w:rsidRPr="00AE691E">
        <w:rPr>
          <w:b/>
          <w:bCs/>
          <w:lang w:val="en-US"/>
        </w:rPr>
        <w:t>Maximizing energy efficiency</w:t>
      </w:r>
      <w:r w:rsidRPr="00AE691E">
        <w:rPr>
          <w:lang w:val="en-US"/>
        </w:rPr>
        <w:t>: Reducing wasted energy and freeing up resources for investment in renewable energy.</w:t>
      </w:r>
    </w:p>
    <w:p w14:paraId="7A7D31EC" w14:textId="77777777" w:rsidR="00AE691E" w:rsidRPr="00AE691E" w:rsidRDefault="00AE691E" w:rsidP="00AE691E">
      <w:pPr>
        <w:numPr>
          <w:ilvl w:val="0"/>
          <w:numId w:val="2"/>
        </w:numPr>
        <w:rPr>
          <w:lang w:val="en-US"/>
        </w:rPr>
      </w:pPr>
      <w:r w:rsidRPr="00AE691E">
        <w:rPr>
          <w:b/>
          <w:bCs/>
          <w:lang w:val="en-US"/>
        </w:rPr>
        <w:t>Lighting for the circular economy</w:t>
      </w:r>
      <w:r w:rsidRPr="00AE691E">
        <w:rPr>
          <w:lang w:val="en-US"/>
        </w:rPr>
        <w:t>: Using 3D printing, bio-based materials, and modular product design to enable upgrades, servicing, and reuse.</w:t>
      </w:r>
    </w:p>
    <w:p w14:paraId="2FF11E93" w14:textId="77777777" w:rsidR="00AE691E" w:rsidRPr="00AE691E" w:rsidRDefault="00AE691E" w:rsidP="00AE691E">
      <w:pPr>
        <w:numPr>
          <w:ilvl w:val="0"/>
          <w:numId w:val="2"/>
        </w:numPr>
        <w:rPr>
          <w:lang w:val="en-US"/>
        </w:rPr>
      </w:pPr>
      <w:r w:rsidRPr="00AE691E">
        <w:rPr>
          <w:b/>
          <w:bCs/>
          <w:lang w:val="en-US"/>
        </w:rPr>
        <w:t>Infrastructure revolution</w:t>
      </w:r>
      <w:r w:rsidRPr="00AE691E">
        <w:rPr>
          <w:lang w:val="en-US"/>
        </w:rPr>
        <w:t>: Aiming for net-zero energy consumption, integrating with smart cities, and supporting safe public spaces.</w:t>
      </w:r>
    </w:p>
    <w:p w14:paraId="502EC059" w14:textId="77777777" w:rsidR="00AE691E" w:rsidRPr="00AE691E" w:rsidRDefault="00AE691E" w:rsidP="00AE691E">
      <w:pPr>
        <w:numPr>
          <w:ilvl w:val="0"/>
          <w:numId w:val="2"/>
        </w:numPr>
        <w:rPr>
          <w:lang w:val="en-US"/>
        </w:rPr>
      </w:pPr>
      <w:r w:rsidRPr="00AE691E">
        <w:rPr>
          <w:b/>
          <w:bCs/>
          <w:lang w:val="en-US"/>
        </w:rPr>
        <w:t>Electrification and digitization</w:t>
      </w:r>
      <w:r w:rsidRPr="00AE691E">
        <w:rPr>
          <w:lang w:val="en-US"/>
        </w:rPr>
        <w:t xml:space="preserve">: Freeing up electricity for HVAC and transport </w:t>
      </w:r>
      <w:proofErr w:type="gramStart"/>
      <w:r w:rsidRPr="00AE691E">
        <w:rPr>
          <w:lang w:val="en-US"/>
        </w:rPr>
        <w:t>electrification, and</w:t>
      </w:r>
      <w:proofErr w:type="gramEnd"/>
      <w:r w:rsidRPr="00AE691E">
        <w:rPr>
          <w:lang w:val="en-US"/>
        </w:rPr>
        <w:t xml:space="preserve"> using smart technologies to monitor and minimize energy use.</w:t>
      </w:r>
    </w:p>
    <w:p w14:paraId="074CA2AD" w14:textId="630D909C" w:rsidR="00AE691E" w:rsidRDefault="00AE691E" w:rsidP="00AE691E">
      <w:pPr>
        <w:pStyle w:val="Nagwek1"/>
        <w:rPr>
          <w:lang w:val="en-US"/>
        </w:rPr>
      </w:pPr>
      <w:r w:rsidRPr="00AE691E">
        <w:rPr>
          <w:lang w:val="en-US"/>
        </w:rPr>
        <w:t>Enhancing Quality of Life and Biodiversity</w:t>
      </w:r>
    </w:p>
    <w:p w14:paraId="0C58FD2E" w14:textId="04BF2C3D" w:rsidR="00AE691E" w:rsidRDefault="00AE691E" w:rsidP="00AE691E">
      <w:r w:rsidRPr="00AE691E">
        <w:rPr>
          <w:lang w:val="en-US"/>
        </w:rPr>
        <w:t xml:space="preserve">Better lighting can significantly improve quality of </w:t>
      </w:r>
      <w:proofErr w:type="gramStart"/>
      <w:r w:rsidRPr="00AE691E">
        <w:rPr>
          <w:lang w:val="en-US"/>
        </w:rPr>
        <w:t>life—</w:t>
      </w:r>
      <w:proofErr w:type="gramEnd"/>
      <w:r w:rsidRPr="00AE691E">
        <w:rPr>
          <w:lang w:val="en-US"/>
        </w:rPr>
        <w:t xml:space="preserve">supporting health, eye comfort, lower energy bills, and providing light for entertainment and relaxation. </w:t>
      </w:r>
      <w:r w:rsidRPr="00AE691E">
        <w:t xml:space="preserve">We </w:t>
      </w:r>
      <w:proofErr w:type="spellStart"/>
      <w:r w:rsidRPr="00AE691E">
        <w:t>also</w:t>
      </w:r>
      <w:proofErr w:type="spellEnd"/>
      <w:r w:rsidRPr="00AE691E">
        <w:t xml:space="preserve"> </w:t>
      </w:r>
      <w:proofErr w:type="spellStart"/>
      <w:r w:rsidRPr="00AE691E">
        <w:t>care</w:t>
      </w:r>
      <w:proofErr w:type="spellEnd"/>
      <w:r w:rsidRPr="00AE691E">
        <w:t xml:space="preserve"> </w:t>
      </w:r>
      <w:proofErr w:type="spellStart"/>
      <w:r w:rsidRPr="00AE691E">
        <w:t>deeply</w:t>
      </w:r>
      <w:proofErr w:type="spellEnd"/>
      <w:r w:rsidRPr="00AE691E">
        <w:t xml:space="preserve"> </w:t>
      </w:r>
      <w:proofErr w:type="spellStart"/>
      <w:r w:rsidRPr="00AE691E">
        <w:t>about</w:t>
      </w:r>
      <w:proofErr w:type="spellEnd"/>
      <w:r w:rsidRPr="00AE691E">
        <w:t xml:space="preserve"> </w:t>
      </w:r>
      <w:proofErr w:type="spellStart"/>
      <w:r w:rsidRPr="00AE691E">
        <w:t>biodiversity</w:t>
      </w:r>
      <w:proofErr w:type="spellEnd"/>
      <w:r w:rsidRPr="00AE691E">
        <w:t xml:space="preserve"> by:</w:t>
      </w:r>
    </w:p>
    <w:p w14:paraId="4AEBDDE4" w14:textId="77777777" w:rsidR="00AE691E" w:rsidRPr="00AE691E" w:rsidRDefault="00AE691E" w:rsidP="00AE691E">
      <w:pPr>
        <w:numPr>
          <w:ilvl w:val="0"/>
          <w:numId w:val="3"/>
        </w:numPr>
        <w:rPr>
          <w:lang w:val="en-US"/>
        </w:rPr>
      </w:pPr>
      <w:r w:rsidRPr="00AE691E">
        <w:rPr>
          <w:b/>
          <w:bCs/>
          <w:lang w:val="en-US"/>
        </w:rPr>
        <w:t>Reducing light pollution</w:t>
      </w:r>
      <w:r w:rsidRPr="00AE691E">
        <w:rPr>
          <w:lang w:val="en-US"/>
        </w:rPr>
        <w:t>: Providing lighting that does not interfere with wildlife well-being.</w:t>
      </w:r>
    </w:p>
    <w:p w14:paraId="55AC542F" w14:textId="77777777" w:rsidR="00AE691E" w:rsidRPr="00AE691E" w:rsidRDefault="00AE691E" w:rsidP="00AE691E">
      <w:pPr>
        <w:numPr>
          <w:ilvl w:val="0"/>
          <w:numId w:val="3"/>
        </w:numPr>
        <w:rPr>
          <w:lang w:val="en-US"/>
        </w:rPr>
      </w:pPr>
      <w:r w:rsidRPr="00AE691E">
        <w:rPr>
          <w:b/>
          <w:bCs/>
          <w:lang w:val="en-US"/>
        </w:rPr>
        <w:t>Supporting sustainable food production</w:t>
      </w:r>
      <w:r w:rsidRPr="00AE691E">
        <w:rPr>
          <w:lang w:val="en-US"/>
        </w:rPr>
        <w:t>: Offering lighting solutions that aid animal husbandry and agriculture.</w:t>
      </w:r>
    </w:p>
    <w:p w14:paraId="7A1E977A" w14:textId="0377BC6E" w:rsidR="00AE691E" w:rsidRDefault="00AE691E" w:rsidP="00AE691E">
      <w:pPr>
        <w:pStyle w:val="Nagwek1"/>
      </w:pPr>
      <w:proofErr w:type="spellStart"/>
      <w:r w:rsidRPr="00AE691E">
        <w:t>Our</w:t>
      </w:r>
      <w:proofErr w:type="spellEnd"/>
      <w:r w:rsidRPr="00AE691E">
        <w:t xml:space="preserve"> </w:t>
      </w:r>
      <w:proofErr w:type="spellStart"/>
      <w:r w:rsidRPr="00AE691E">
        <w:t>Commitment</w:t>
      </w:r>
      <w:proofErr w:type="spellEnd"/>
      <w:r w:rsidRPr="00AE691E">
        <w:t xml:space="preserve"> to </w:t>
      </w:r>
      <w:proofErr w:type="spellStart"/>
      <w:r w:rsidRPr="00AE691E">
        <w:t>Sustainability</w:t>
      </w:r>
      <w:proofErr w:type="spellEnd"/>
    </w:p>
    <w:p w14:paraId="7CB6B023" w14:textId="05C0E44D" w:rsidR="00AE691E" w:rsidRDefault="00AE691E" w:rsidP="00AE691E">
      <w:pPr>
        <w:rPr>
          <w:lang w:val="en-US"/>
        </w:rPr>
      </w:pPr>
      <w:r w:rsidRPr="00AE691E">
        <w:rPr>
          <w:lang w:val="en-US"/>
        </w:rPr>
        <w:t>We have long been committed to sustainable development. Here are some of our key initiatives:</w:t>
      </w:r>
    </w:p>
    <w:p w14:paraId="4EF8BDEC" w14:textId="77777777" w:rsidR="00960693" w:rsidRPr="00960693" w:rsidRDefault="00960693" w:rsidP="00960693">
      <w:pPr>
        <w:numPr>
          <w:ilvl w:val="0"/>
          <w:numId w:val="4"/>
        </w:numPr>
        <w:rPr>
          <w:lang w:val="en-US"/>
        </w:rPr>
      </w:pPr>
      <w:r w:rsidRPr="00960693">
        <w:rPr>
          <w:b/>
          <w:bCs/>
          <w:lang w:val="en-US"/>
        </w:rPr>
        <w:t>Global Lighting Challenge</w:t>
      </w:r>
      <w:r w:rsidRPr="00960693">
        <w:rPr>
          <w:lang w:val="en-US"/>
        </w:rPr>
        <w:t>: Installing 10 billion energy-efficient light points.</w:t>
      </w:r>
    </w:p>
    <w:p w14:paraId="379AE020" w14:textId="77777777" w:rsidR="00960693" w:rsidRPr="00960693" w:rsidRDefault="00960693" w:rsidP="00960693">
      <w:pPr>
        <w:numPr>
          <w:ilvl w:val="0"/>
          <w:numId w:val="4"/>
        </w:numPr>
        <w:rPr>
          <w:lang w:val="en-US"/>
        </w:rPr>
      </w:pPr>
      <w:proofErr w:type="spellStart"/>
      <w:proofErr w:type="gramStart"/>
      <w:r w:rsidRPr="00960693">
        <w:rPr>
          <w:b/>
          <w:bCs/>
          <w:lang w:val="en-US"/>
        </w:rPr>
        <w:t>en.lighten</w:t>
      </w:r>
      <w:proofErr w:type="spellEnd"/>
      <w:proofErr w:type="gramEnd"/>
      <w:r w:rsidRPr="00960693">
        <w:rPr>
          <w:b/>
          <w:bCs/>
          <w:lang w:val="en-US"/>
        </w:rPr>
        <w:t xml:space="preserve"> partnership</w:t>
      </w:r>
      <w:r w:rsidRPr="00960693">
        <w:rPr>
          <w:lang w:val="en-US"/>
        </w:rPr>
        <w:t>: Collaborating with UNEP and the Global Environment Facility to improve lighting energy efficiency.</w:t>
      </w:r>
    </w:p>
    <w:p w14:paraId="4B94F9DA" w14:textId="77777777" w:rsidR="00960693" w:rsidRPr="00960693" w:rsidRDefault="00960693" w:rsidP="00960693">
      <w:pPr>
        <w:numPr>
          <w:ilvl w:val="0"/>
          <w:numId w:val="4"/>
        </w:numPr>
        <w:rPr>
          <w:lang w:val="en-US"/>
        </w:rPr>
      </w:pPr>
      <w:r w:rsidRPr="00960693">
        <w:rPr>
          <w:b/>
          <w:bCs/>
          <w:lang w:val="en-US"/>
        </w:rPr>
        <w:t>Carbon neutrality</w:t>
      </w:r>
      <w:r w:rsidRPr="00960693">
        <w:rPr>
          <w:lang w:val="en-US"/>
        </w:rPr>
        <w:t>: Committing to carbon neutrality as part of the COP21 Paris Agreement.</w:t>
      </w:r>
    </w:p>
    <w:p w14:paraId="2D41EBF3" w14:textId="77777777" w:rsidR="00960693" w:rsidRPr="00960693" w:rsidRDefault="00960693" w:rsidP="00960693">
      <w:pPr>
        <w:numPr>
          <w:ilvl w:val="0"/>
          <w:numId w:val="4"/>
        </w:numPr>
        <w:rPr>
          <w:lang w:val="en-US"/>
        </w:rPr>
      </w:pPr>
      <w:r w:rsidRPr="00960693">
        <w:rPr>
          <w:b/>
          <w:bCs/>
          <w:lang w:val="en-US"/>
        </w:rPr>
        <w:t>Signify Foundation</w:t>
      </w:r>
      <w:r w:rsidRPr="00960693">
        <w:rPr>
          <w:lang w:val="en-US"/>
        </w:rPr>
        <w:t>: Providing lighting access to 10 million people by 2025.</w:t>
      </w:r>
    </w:p>
    <w:p w14:paraId="55059541" w14:textId="77777777" w:rsidR="00960693" w:rsidRPr="00960693" w:rsidRDefault="00960693" w:rsidP="00960693">
      <w:pPr>
        <w:numPr>
          <w:ilvl w:val="0"/>
          <w:numId w:val="4"/>
        </w:numPr>
        <w:rPr>
          <w:lang w:val="en-US"/>
        </w:rPr>
      </w:pPr>
      <w:r w:rsidRPr="00960693">
        <w:rPr>
          <w:b/>
          <w:bCs/>
          <w:lang w:val="en-US"/>
        </w:rPr>
        <w:lastRenderedPageBreak/>
        <w:t>Brighter Lives, Better World program</w:t>
      </w:r>
      <w:r w:rsidRPr="00960693">
        <w:rPr>
          <w:lang w:val="en-US"/>
        </w:rPr>
        <w:t>: Achieving sustainability goals by the end of 2020, including 100% renewable electricity and zero waste to landfill.</w:t>
      </w:r>
    </w:p>
    <w:p w14:paraId="523BBF7F" w14:textId="77777777" w:rsidR="00960693" w:rsidRPr="00960693" w:rsidRDefault="00960693" w:rsidP="00960693">
      <w:pPr>
        <w:numPr>
          <w:ilvl w:val="0"/>
          <w:numId w:val="4"/>
        </w:numPr>
        <w:rPr>
          <w:lang w:val="en-US"/>
        </w:rPr>
      </w:pPr>
      <w:r w:rsidRPr="00960693">
        <w:rPr>
          <w:b/>
          <w:bCs/>
          <w:lang w:val="en-US"/>
        </w:rPr>
        <w:t>GHG emissions reduction</w:t>
      </w:r>
      <w:r w:rsidRPr="00960693">
        <w:rPr>
          <w:lang w:val="en-US"/>
        </w:rPr>
        <w:t>: Achieving over 77% reduction in greenhouse gas emissions from our operations.</w:t>
      </w:r>
    </w:p>
    <w:p w14:paraId="4C011795" w14:textId="115D162E" w:rsidR="00960693" w:rsidRPr="00960693" w:rsidRDefault="00960693" w:rsidP="00AE691E">
      <w:pPr>
        <w:rPr>
          <w:lang w:val="en-US"/>
        </w:rPr>
      </w:pPr>
      <w:r w:rsidRPr="00960693">
        <w:rPr>
          <w:lang w:val="en-US"/>
        </w:rPr>
        <w:t>We continue to pursue ambitious sustainability goals, contributing to the global energy transition and the protection of our planet.</w:t>
      </w:r>
    </w:p>
    <w:p w14:paraId="5830D6D4" w14:textId="77777777" w:rsidR="00960693" w:rsidRPr="00960693" w:rsidRDefault="00960693" w:rsidP="00AE691E">
      <w:pPr>
        <w:rPr>
          <w:lang w:val="en-US"/>
        </w:rPr>
      </w:pPr>
    </w:p>
    <w:sectPr w:rsidR="00960693" w:rsidRPr="0096069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36E5A" w14:textId="77777777" w:rsidR="00215A8A" w:rsidRDefault="00215A8A" w:rsidP="00215A8A">
      <w:pPr>
        <w:spacing w:after="0" w:line="240" w:lineRule="auto"/>
      </w:pPr>
      <w:r>
        <w:separator/>
      </w:r>
    </w:p>
  </w:endnote>
  <w:endnote w:type="continuationSeparator" w:id="0">
    <w:p w14:paraId="64A308E5" w14:textId="77777777" w:rsidR="00215A8A" w:rsidRDefault="00215A8A" w:rsidP="00215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CF722" w14:textId="77777777" w:rsidR="00215A8A" w:rsidRDefault="00215A8A" w:rsidP="00215A8A">
      <w:pPr>
        <w:spacing w:after="0" w:line="240" w:lineRule="auto"/>
      </w:pPr>
      <w:r>
        <w:separator/>
      </w:r>
    </w:p>
  </w:footnote>
  <w:footnote w:type="continuationSeparator" w:id="0">
    <w:p w14:paraId="4C23CAD9" w14:textId="77777777" w:rsidR="00215A8A" w:rsidRDefault="00215A8A" w:rsidP="00215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6AAFF" w14:textId="14639C27" w:rsidR="00215A8A" w:rsidRDefault="00215A8A">
    <w:pPr>
      <w:pStyle w:val="Nagwek"/>
    </w:pPr>
    <w:r>
      <w:rPr>
        <w:noProof/>
      </w:rPr>
      <mc:AlternateContent>
        <mc:Choice Requires="wps">
          <w:drawing>
            <wp:anchor distT="0" distB="0" distL="0" distR="0" simplePos="0" relativeHeight="251659264" behindDoc="0" locked="0" layoutInCell="1" allowOverlap="1" wp14:anchorId="4C6A461B" wp14:editId="1854AE12">
              <wp:simplePos x="635" y="635"/>
              <wp:positionH relativeFrom="page">
                <wp:align>left</wp:align>
              </wp:positionH>
              <wp:positionV relativeFrom="page">
                <wp:align>top</wp:align>
              </wp:positionV>
              <wp:extent cx="737870" cy="370205"/>
              <wp:effectExtent l="0" t="0" r="5080" b="10795"/>
              <wp:wrapNone/>
              <wp:docPr id="693651338" name="Pole tekstowe 2"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6540B0F4" w14:textId="7DD17D9E" w:rsidR="00215A8A" w:rsidRPr="00215A8A" w:rsidRDefault="00215A8A" w:rsidP="00215A8A">
                          <w:pPr>
                            <w:spacing w:after="0"/>
                            <w:rPr>
                              <w:rFonts w:ascii="Calibri" w:eastAsia="Calibri" w:hAnsi="Calibri" w:cs="Calibri"/>
                              <w:noProof/>
                              <w:color w:val="000000"/>
                              <w:sz w:val="20"/>
                              <w:szCs w:val="20"/>
                            </w:rPr>
                          </w:pPr>
                          <w:r w:rsidRPr="00215A8A">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C6A461B" id="_x0000_t202" coordsize="21600,21600" o:spt="202" path="m,l,21600r21600,l21600,xe">
              <v:stroke joinstyle="miter"/>
              <v:path gradientshapeok="t" o:connecttype="rect"/>
            </v:shapetype>
            <v:shape id="Pole tekstowe 2" o:spid="_x0000_s1026" type="#_x0000_t202" alt="Classified" style="position:absolute;margin-left:0;margin-top:0;width:58.1pt;height:29.1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" filled="f" stroked="f">
              <v:fill o:detectmouseclick="t"/>
              <v:textbox style="mso-fit-shape-to-text:t" inset="20pt,15pt,0,0">
                <w:txbxContent>
                  <w:p w14:paraId="6540B0F4" w14:textId="7DD17D9E" w:rsidR="00215A8A" w:rsidRPr="00215A8A" w:rsidRDefault="00215A8A" w:rsidP="00215A8A">
                    <w:pPr>
                      <w:spacing w:after="0"/>
                      <w:rPr>
                        <w:rFonts w:ascii="Calibri" w:eastAsia="Calibri" w:hAnsi="Calibri" w:cs="Calibri"/>
                        <w:noProof/>
                        <w:color w:val="000000"/>
                        <w:sz w:val="20"/>
                        <w:szCs w:val="20"/>
                      </w:rPr>
                    </w:pPr>
                    <w:r w:rsidRPr="00215A8A">
                      <w:rPr>
                        <w:rFonts w:ascii="Calibri" w:eastAsia="Calibri" w:hAnsi="Calibri" w:cs="Calibri"/>
                        <w:noProof/>
                        <w:color w:val="000000"/>
                        <w:sz w:val="20"/>
                        <w:szCs w:val="20"/>
                      </w:rPr>
                      <w:t>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00189" w14:textId="2A1812FD" w:rsidR="00215A8A" w:rsidRDefault="00215A8A">
    <w:pPr>
      <w:pStyle w:val="Nagwek"/>
    </w:pPr>
    <w:r>
      <w:rPr>
        <w:noProof/>
      </w:rPr>
      <mc:AlternateContent>
        <mc:Choice Requires="wps">
          <w:drawing>
            <wp:anchor distT="0" distB="0" distL="0" distR="0" simplePos="0" relativeHeight="251660288" behindDoc="0" locked="0" layoutInCell="1" allowOverlap="1" wp14:anchorId="789D3C83" wp14:editId="57D6570B">
              <wp:simplePos x="914400" y="450850"/>
              <wp:positionH relativeFrom="page">
                <wp:align>left</wp:align>
              </wp:positionH>
              <wp:positionV relativeFrom="page">
                <wp:align>top</wp:align>
              </wp:positionV>
              <wp:extent cx="737870" cy="370205"/>
              <wp:effectExtent l="0" t="0" r="5080" b="10795"/>
              <wp:wrapNone/>
              <wp:docPr id="482985799" name="Pole tekstowe 3"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34ADB1B7" w14:textId="06878995" w:rsidR="00215A8A" w:rsidRPr="00215A8A" w:rsidRDefault="00215A8A" w:rsidP="00215A8A">
                          <w:pPr>
                            <w:spacing w:after="0"/>
                            <w:rPr>
                              <w:rFonts w:ascii="Calibri" w:eastAsia="Calibri" w:hAnsi="Calibri" w:cs="Calibri"/>
                              <w:noProof/>
                              <w:color w:val="000000"/>
                              <w:sz w:val="20"/>
                              <w:szCs w:val="20"/>
                            </w:rPr>
                          </w:pPr>
                          <w:r w:rsidRPr="00215A8A">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D3C83" id="_x0000_t202" coordsize="21600,21600" o:spt="202" path="m,l,21600r21600,l21600,xe">
              <v:stroke joinstyle="miter"/>
              <v:path gradientshapeok="t" o:connecttype="rect"/>
            </v:shapetype>
            <v:shape id="Pole tekstowe 3" o:spid="_x0000_s1027" type="#_x0000_t202" alt="Classified" style="position:absolute;margin-left:0;margin-top:0;width:58.1pt;height:29.1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" filled="f" stroked="f">
              <v:fill o:detectmouseclick="t"/>
              <v:textbox style="mso-fit-shape-to-text:t" inset="20pt,15pt,0,0">
                <w:txbxContent>
                  <w:p w14:paraId="34ADB1B7" w14:textId="06878995" w:rsidR="00215A8A" w:rsidRPr="00215A8A" w:rsidRDefault="00215A8A" w:rsidP="00215A8A">
                    <w:pPr>
                      <w:spacing w:after="0"/>
                      <w:rPr>
                        <w:rFonts w:ascii="Calibri" w:eastAsia="Calibri" w:hAnsi="Calibri" w:cs="Calibri"/>
                        <w:noProof/>
                        <w:color w:val="000000"/>
                        <w:sz w:val="20"/>
                        <w:szCs w:val="20"/>
                      </w:rPr>
                    </w:pPr>
                    <w:r w:rsidRPr="00215A8A">
                      <w:rPr>
                        <w:rFonts w:ascii="Calibri" w:eastAsia="Calibri" w:hAnsi="Calibri" w:cs="Calibri"/>
                        <w:noProof/>
                        <w:color w:val="000000"/>
                        <w:sz w:val="20"/>
                        <w:szCs w:val="20"/>
                      </w:rPr>
                      <w:t>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4F704" w14:textId="2AD93650" w:rsidR="00215A8A" w:rsidRDefault="00215A8A">
    <w:pPr>
      <w:pStyle w:val="Nagwek"/>
    </w:pPr>
    <w:r>
      <w:rPr>
        <w:noProof/>
      </w:rPr>
      <mc:AlternateContent>
        <mc:Choice Requires="wps">
          <w:drawing>
            <wp:anchor distT="0" distB="0" distL="0" distR="0" simplePos="0" relativeHeight="251658240" behindDoc="0" locked="0" layoutInCell="1" allowOverlap="1" wp14:anchorId="6A055F2C" wp14:editId="6EF91BE0">
              <wp:simplePos x="635" y="635"/>
              <wp:positionH relativeFrom="page">
                <wp:align>left</wp:align>
              </wp:positionH>
              <wp:positionV relativeFrom="page">
                <wp:align>top</wp:align>
              </wp:positionV>
              <wp:extent cx="737870" cy="370205"/>
              <wp:effectExtent l="0" t="0" r="5080" b="10795"/>
              <wp:wrapNone/>
              <wp:docPr id="1201304950" name="Pole tekstowe 1" descr="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37870" cy="370205"/>
                      </a:xfrm>
                      <a:prstGeom prst="rect">
                        <a:avLst/>
                      </a:prstGeom>
                      <a:noFill/>
                      <a:ln>
                        <a:noFill/>
                      </a:ln>
                    </wps:spPr>
                    <wps:txbx>
                      <w:txbxContent>
                        <w:p w14:paraId="1D8F2163" w14:textId="1700973A" w:rsidR="00215A8A" w:rsidRPr="00215A8A" w:rsidRDefault="00215A8A" w:rsidP="00215A8A">
                          <w:pPr>
                            <w:spacing w:after="0"/>
                            <w:rPr>
                              <w:rFonts w:ascii="Calibri" w:eastAsia="Calibri" w:hAnsi="Calibri" w:cs="Calibri"/>
                              <w:noProof/>
                              <w:color w:val="000000"/>
                              <w:sz w:val="20"/>
                              <w:szCs w:val="20"/>
                            </w:rPr>
                          </w:pPr>
                          <w:r w:rsidRPr="00215A8A">
                            <w:rPr>
                              <w:rFonts w:ascii="Calibri" w:eastAsia="Calibri" w:hAnsi="Calibri" w:cs="Calibri"/>
                              <w:noProof/>
                              <w:color w:val="000000"/>
                              <w:sz w:val="20"/>
                              <w:szCs w:val="20"/>
                            </w:rPr>
                            <w:t>Classified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055F2C" id="_x0000_t202" coordsize="21600,21600" o:spt="202" path="m,l,21600r21600,l21600,xe">
              <v:stroke joinstyle="miter"/>
              <v:path gradientshapeok="t" o:connecttype="rect"/>
            </v:shapetype>
            <v:shape id="Pole tekstowe 1" o:spid="_x0000_s1028" type="#_x0000_t202" alt="Classified" style="position:absolute;margin-left:0;margin-top:0;width:58.1pt;height:29.1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" filled="f" stroked="f">
              <v:fill o:detectmouseclick="t"/>
              <v:textbox style="mso-fit-shape-to-text:t" inset="20pt,15pt,0,0">
                <w:txbxContent>
                  <w:p w14:paraId="1D8F2163" w14:textId="1700973A" w:rsidR="00215A8A" w:rsidRPr="00215A8A" w:rsidRDefault="00215A8A" w:rsidP="00215A8A">
                    <w:pPr>
                      <w:spacing w:after="0"/>
                      <w:rPr>
                        <w:rFonts w:ascii="Calibri" w:eastAsia="Calibri" w:hAnsi="Calibri" w:cs="Calibri"/>
                        <w:noProof/>
                        <w:color w:val="000000"/>
                        <w:sz w:val="20"/>
                        <w:szCs w:val="20"/>
                      </w:rPr>
                    </w:pPr>
                    <w:r w:rsidRPr="00215A8A">
                      <w:rPr>
                        <w:rFonts w:ascii="Calibri" w:eastAsia="Calibri" w:hAnsi="Calibri" w:cs="Calibri"/>
                        <w:noProof/>
                        <w:color w:val="000000"/>
                        <w:sz w:val="20"/>
                        <w:szCs w:val="20"/>
                      </w:rPr>
                      <w:t>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3634C3"/>
    <w:multiLevelType w:val="multilevel"/>
    <w:tmpl w:val="A116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77103F"/>
    <w:multiLevelType w:val="multilevel"/>
    <w:tmpl w:val="F44CB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5B52A6"/>
    <w:multiLevelType w:val="multilevel"/>
    <w:tmpl w:val="E6B6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91602E"/>
    <w:multiLevelType w:val="multilevel"/>
    <w:tmpl w:val="2B04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1120373">
    <w:abstractNumId w:val="3"/>
  </w:num>
  <w:num w:numId="2" w16cid:durableId="415903513">
    <w:abstractNumId w:val="1"/>
  </w:num>
  <w:num w:numId="3" w16cid:durableId="2006276372">
    <w:abstractNumId w:val="0"/>
  </w:num>
  <w:num w:numId="4" w16cid:durableId="553350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A8A"/>
    <w:rsid w:val="00131227"/>
    <w:rsid w:val="00215A8A"/>
    <w:rsid w:val="006E0BFA"/>
    <w:rsid w:val="00713918"/>
    <w:rsid w:val="00761354"/>
    <w:rsid w:val="008A63F3"/>
    <w:rsid w:val="00960693"/>
    <w:rsid w:val="00AE691E"/>
    <w:rsid w:val="00B12DA5"/>
    <w:rsid w:val="00DA2DC1"/>
    <w:rsid w:val="00E475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CC6C"/>
  <w15:chartTrackingRefBased/>
  <w15:docId w15:val="{DF2CE5E0-7F5A-4560-B848-1FD2D707C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15A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15A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15A8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15A8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15A8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15A8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5A8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5A8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5A8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5A8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15A8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15A8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15A8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15A8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15A8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5A8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5A8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5A8A"/>
    <w:rPr>
      <w:rFonts w:eastAsiaTheme="majorEastAsia" w:cstheme="majorBidi"/>
      <w:color w:val="272727" w:themeColor="text1" w:themeTint="D8"/>
    </w:rPr>
  </w:style>
  <w:style w:type="paragraph" w:styleId="Tytu">
    <w:name w:val="Title"/>
    <w:basedOn w:val="Normalny"/>
    <w:next w:val="Normalny"/>
    <w:link w:val="TytuZnak"/>
    <w:uiPriority w:val="10"/>
    <w:qFormat/>
    <w:rsid w:val="00215A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5A8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5A8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5A8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5A8A"/>
    <w:pPr>
      <w:spacing w:before="160"/>
      <w:jc w:val="center"/>
    </w:pPr>
    <w:rPr>
      <w:i/>
      <w:iCs/>
      <w:color w:val="404040" w:themeColor="text1" w:themeTint="BF"/>
    </w:rPr>
  </w:style>
  <w:style w:type="character" w:customStyle="1" w:styleId="CytatZnak">
    <w:name w:val="Cytat Znak"/>
    <w:basedOn w:val="Domylnaczcionkaakapitu"/>
    <w:link w:val="Cytat"/>
    <w:uiPriority w:val="29"/>
    <w:rsid w:val="00215A8A"/>
    <w:rPr>
      <w:i/>
      <w:iCs/>
      <w:color w:val="404040" w:themeColor="text1" w:themeTint="BF"/>
    </w:rPr>
  </w:style>
  <w:style w:type="paragraph" w:styleId="Akapitzlist">
    <w:name w:val="List Paragraph"/>
    <w:basedOn w:val="Normalny"/>
    <w:uiPriority w:val="34"/>
    <w:qFormat/>
    <w:rsid w:val="00215A8A"/>
    <w:pPr>
      <w:ind w:left="720"/>
      <w:contextualSpacing/>
    </w:pPr>
  </w:style>
  <w:style w:type="character" w:styleId="Wyrnienieintensywne">
    <w:name w:val="Intense Emphasis"/>
    <w:basedOn w:val="Domylnaczcionkaakapitu"/>
    <w:uiPriority w:val="21"/>
    <w:qFormat/>
    <w:rsid w:val="00215A8A"/>
    <w:rPr>
      <w:i/>
      <w:iCs/>
      <w:color w:val="0F4761" w:themeColor="accent1" w:themeShade="BF"/>
    </w:rPr>
  </w:style>
  <w:style w:type="paragraph" w:styleId="Cytatintensywny">
    <w:name w:val="Intense Quote"/>
    <w:basedOn w:val="Normalny"/>
    <w:next w:val="Normalny"/>
    <w:link w:val="CytatintensywnyZnak"/>
    <w:uiPriority w:val="30"/>
    <w:qFormat/>
    <w:rsid w:val="00215A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15A8A"/>
    <w:rPr>
      <w:i/>
      <w:iCs/>
      <w:color w:val="0F4761" w:themeColor="accent1" w:themeShade="BF"/>
    </w:rPr>
  </w:style>
  <w:style w:type="character" w:styleId="Odwoanieintensywne">
    <w:name w:val="Intense Reference"/>
    <w:basedOn w:val="Domylnaczcionkaakapitu"/>
    <w:uiPriority w:val="32"/>
    <w:qFormat/>
    <w:rsid w:val="00215A8A"/>
    <w:rPr>
      <w:b/>
      <w:bCs/>
      <w:smallCaps/>
      <w:color w:val="0F4761" w:themeColor="accent1" w:themeShade="BF"/>
      <w:spacing w:val="5"/>
    </w:rPr>
  </w:style>
  <w:style w:type="paragraph" w:styleId="Nagwek">
    <w:name w:val="header"/>
    <w:basedOn w:val="Normalny"/>
    <w:link w:val="NagwekZnak"/>
    <w:uiPriority w:val="99"/>
    <w:unhideWhenUsed/>
    <w:rsid w:val="00215A8A"/>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215A8A"/>
  </w:style>
  <w:style w:type="character" w:styleId="Odwoaniedelikatne">
    <w:name w:val="Subtle Reference"/>
    <w:basedOn w:val="Domylnaczcionkaakapitu"/>
    <w:uiPriority w:val="31"/>
    <w:qFormat/>
    <w:rsid w:val="00131227"/>
    <w:rPr>
      <w:smallCaps/>
      <w:color w:val="5A5A5A" w:themeColor="text1" w:themeTint="A5"/>
    </w:rPr>
  </w:style>
  <w:style w:type="character" w:styleId="Hipercze">
    <w:name w:val="Hyperlink"/>
    <w:basedOn w:val="Domylnaczcionkaakapitu"/>
    <w:uiPriority w:val="99"/>
    <w:unhideWhenUsed/>
    <w:rsid w:val="00131227"/>
    <w:rPr>
      <w:color w:val="467886" w:themeColor="hyperlink"/>
      <w:u w:val="single"/>
    </w:rPr>
  </w:style>
  <w:style w:type="character" w:styleId="Nierozpoznanawzmianka">
    <w:name w:val="Unresolved Mention"/>
    <w:basedOn w:val="Domylnaczcionkaakapitu"/>
    <w:uiPriority w:val="99"/>
    <w:semiHidden/>
    <w:unhideWhenUsed/>
    <w:rsid w:val="00131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245588">
      <w:bodyDiv w:val="1"/>
      <w:marLeft w:val="0"/>
      <w:marRight w:val="0"/>
      <w:marTop w:val="0"/>
      <w:marBottom w:val="0"/>
      <w:divBdr>
        <w:top w:val="none" w:sz="0" w:space="0" w:color="auto"/>
        <w:left w:val="none" w:sz="0" w:space="0" w:color="auto"/>
        <w:bottom w:val="none" w:sz="0" w:space="0" w:color="auto"/>
        <w:right w:val="none" w:sz="0" w:space="0" w:color="auto"/>
      </w:divBdr>
    </w:div>
    <w:div w:id="312877342">
      <w:bodyDiv w:val="1"/>
      <w:marLeft w:val="0"/>
      <w:marRight w:val="0"/>
      <w:marTop w:val="0"/>
      <w:marBottom w:val="0"/>
      <w:divBdr>
        <w:top w:val="none" w:sz="0" w:space="0" w:color="auto"/>
        <w:left w:val="none" w:sz="0" w:space="0" w:color="auto"/>
        <w:bottom w:val="none" w:sz="0" w:space="0" w:color="auto"/>
        <w:right w:val="none" w:sz="0" w:space="0" w:color="auto"/>
      </w:divBdr>
    </w:div>
    <w:div w:id="316804074">
      <w:bodyDiv w:val="1"/>
      <w:marLeft w:val="0"/>
      <w:marRight w:val="0"/>
      <w:marTop w:val="0"/>
      <w:marBottom w:val="0"/>
      <w:divBdr>
        <w:top w:val="none" w:sz="0" w:space="0" w:color="auto"/>
        <w:left w:val="none" w:sz="0" w:space="0" w:color="auto"/>
        <w:bottom w:val="none" w:sz="0" w:space="0" w:color="auto"/>
        <w:right w:val="none" w:sz="0" w:space="0" w:color="auto"/>
      </w:divBdr>
    </w:div>
    <w:div w:id="464197984">
      <w:bodyDiv w:val="1"/>
      <w:marLeft w:val="0"/>
      <w:marRight w:val="0"/>
      <w:marTop w:val="0"/>
      <w:marBottom w:val="0"/>
      <w:divBdr>
        <w:top w:val="none" w:sz="0" w:space="0" w:color="auto"/>
        <w:left w:val="none" w:sz="0" w:space="0" w:color="auto"/>
        <w:bottom w:val="none" w:sz="0" w:space="0" w:color="auto"/>
        <w:right w:val="none" w:sz="0" w:space="0" w:color="auto"/>
      </w:divBdr>
    </w:div>
    <w:div w:id="616107681">
      <w:bodyDiv w:val="1"/>
      <w:marLeft w:val="0"/>
      <w:marRight w:val="0"/>
      <w:marTop w:val="0"/>
      <w:marBottom w:val="0"/>
      <w:divBdr>
        <w:top w:val="none" w:sz="0" w:space="0" w:color="auto"/>
        <w:left w:val="none" w:sz="0" w:space="0" w:color="auto"/>
        <w:bottom w:val="none" w:sz="0" w:space="0" w:color="auto"/>
        <w:right w:val="none" w:sz="0" w:space="0" w:color="auto"/>
      </w:divBdr>
    </w:div>
    <w:div w:id="850607238">
      <w:bodyDiv w:val="1"/>
      <w:marLeft w:val="0"/>
      <w:marRight w:val="0"/>
      <w:marTop w:val="0"/>
      <w:marBottom w:val="0"/>
      <w:divBdr>
        <w:top w:val="none" w:sz="0" w:space="0" w:color="auto"/>
        <w:left w:val="none" w:sz="0" w:space="0" w:color="auto"/>
        <w:bottom w:val="none" w:sz="0" w:space="0" w:color="auto"/>
        <w:right w:val="none" w:sz="0" w:space="0" w:color="auto"/>
      </w:divBdr>
    </w:div>
    <w:div w:id="1138063089">
      <w:bodyDiv w:val="1"/>
      <w:marLeft w:val="0"/>
      <w:marRight w:val="0"/>
      <w:marTop w:val="0"/>
      <w:marBottom w:val="0"/>
      <w:divBdr>
        <w:top w:val="none" w:sz="0" w:space="0" w:color="auto"/>
        <w:left w:val="none" w:sz="0" w:space="0" w:color="auto"/>
        <w:bottom w:val="none" w:sz="0" w:space="0" w:color="auto"/>
        <w:right w:val="none" w:sz="0" w:space="0" w:color="auto"/>
      </w:divBdr>
    </w:div>
    <w:div w:id="1348022406">
      <w:bodyDiv w:val="1"/>
      <w:marLeft w:val="0"/>
      <w:marRight w:val="0"/>
      <w:marTop w:val="0"/>
      <w:marBottom w:val="0"/>
      <w:divBdr>
        <w:top w:val="none" w:sz="0" w:space="0" w:color="auto"/>
        <w:left w:val="none" w:sz="0" w:space="0" w:color="auto"/>
        <w:bottom w:val="none" w:sz="0" w:space="0" w:color="auto"/>
        <w:right w:val="none" w:sz="0" w:space="0" w:color="auto"/>
      </w:divBdr>
    </w:div>
    <w:div w:id="1493451815">
      <w:bodyDiv w:val="1"/>
      <w:marLeft w:val="0"/>
      <w:marRight w:val="0"/>
      <w:marTop w:val="0"/>
      <w:marBottom w:val="0"/>
      <w:divBdr>
        <w:top w:val="none" w:sz="0" w:space="0" w:color="auto"/>
        <w:left w:val="none" w:sz="0" w:space="0" w:color="auto"/>
        <w:bottom w:val="none" w:sz="0" w:space="0" w:color="auto"/>
        <w:right w:val="none" w:sz="0" w:space="0" w:color="auto"/>
      </w:divBdr>
    </w:div>
    <w:div w:id="1803189856">
      <w:bodyDiv w:val="1"/>
      <w:marLeft w:val="0"/>
      <w:marRight w:val="0"/>
      <w:marTop w:val="0"/>
      <w:marBottom w:val="0"/>
      <w:divBdr>
        <w:top w:val="none" w:sz="0" w:space="0" w:color="auto"/>
        <w:left w:val="none" w:sz="0" w:space="0" w:color="auto"/>
        <w:bottom w:val="none" w:sz="0" w:space="0" w:color="auto"/>
        <w:right w:val="none" w:sz="0" w:space="0" w:color="auto"/>
      </w:divBdr>
    </w:div>
    <w:div w:id="1861509485">
      <w:bodyDiv w:val="1"/>
      <w:marLeft w:val="0"/>
      <w:marRight w:val="0"/>
      <w:marTop w:val="0"/>
      <w:marBottom w:val="0"/>
      <w:divBdr>
        <w:top w:val="none" w:sz="0" w:space="0" w:color="auto"/>
        <w:left w:val="none" w:sz="0" w:space="0" w:color="auto"/>
        <w:bottom w:val="none" w:sz="0" w:space="0" w:color="auto"/>
        <w:right w:val="none" w:sz="0" w:space="0" w:color="auto"/>
      </w:divBdr>
    </w:div>
    <w:div w:id="211917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ltics.partnerportal.pro/wp-content/uploads/sites/3/2025/05/Signify-Green-Switch-Infographic.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ltics.partnerportal.pro/wp-content/uploads/sites/3/2025/05/Signify-Sustainability-Journey.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ignify.com/pl-pl/sustainability/green-switch-program"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575</Words>
  <Characters>3452</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Kacper Kunysz</dc:creator>
  <cp:keywords/>
  <dc:description/>
  <cp:lastModifiedBy>Kacper Kunysz</cp:lastModifiedBy>
  <cp:revision>10</cp:revision>
  <dcterms:created xsi:type="dcterms:W3CDTF">2025-05-14T14:10:00Z</dcterms:created>
  <dcterms:modified xsi:type="dcterms:W3CDTF">2025-05-14T14:52:00Z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479a7576,2958478a,1cc9c747</vt:lpwstr>
  </property>
  <property fmtid="{D5CDD505-2E9C-101B-9397-08002B2CF9AE}" pid="3" name="ClassificationContentMarkingHeaderFontProps">
    <vt:lpwstr>#000000,10,Calibri</vt:lpwstr>
  </property>
  <property fmtid="{D5CDD505-2E9C-101B-9397-08002B2CF9AE}" pid="4" name="ClassificationContentMarkingHeaderText">
    <vt:lpwstr>Classified</vt:lpwstr>
  </property>
  <property fmtid="{D5CDD505-2E9C-101B-9397-08002B2CF9AE}" pid="5" name="MSIP_Label_00f7727a-510c-40ce-a418-7fdfc8e6513f_Enabled">
    <vt:lpwstr>true</vt:lpwstr>
  </property>
  <property fmtid="{D5CDD505-2E9C-101B-9397-08002B2CF9AE}" pid="6" name="MSIP_Label_00f7727a-510c-40ce-a418-7fdfc8e6513f_SetDate">
    <vt:lpwstr>2025-05-14T14:10:15Z</vt:lpwstr>
  </property>
  <property fmtid="{D5CDD505-2E9C-101B-9397-08002B2CF9AE}" pid="7" name="MSIP_Label_00f7727a-510c-40ce-a418-7fdfc8e6513f_Method">
    <vt:lpwstr>Standard</vt:lpwstr>
  </property>
  <property fmtid="{D5CDD505-2E9C-101B-9397-08002B2CF9AE}" pid="8" name="MSIP_Label_00f7727a-510c-40ce-a418-7fdfc8e6513f_Name">
    <vt:lpwstr>Classified (without encryption)</vt:lpwstr>
  </property>
  <property fmtid="{D5CDD505-2E9C-101B-9397-08002B2CF9AE}" pid="9" name="MSIP_Label_00f7727a-510c-40ce-a418-7fdfc8e6513f_SiteId">
    <vt:lpwstr>75b2f54b-feff-400d-8e0b-67102edb9a23</vt:lpwstr>
  </property>
  <property fmtid="{D5CDD505-2E9C-101B-9397-08002B2CF9AE}" pid="10" name="MSIP_Label_00f7727a-510c-40ce-a418-7fdfc8e6513f_ActionId">
    <vt:lpwstr>e81d8155-60a0-46f1-9e34-60933f924370</vt:lpwstr>
  </property>
  <property fmtid="{D5CDD505-2E9C-101B-9397-08002B2CF9AE}" pid="11" name="MSIP_Label_00f7727a-510c-40ce-a418-7fdfc8e6513f_ContentBits">
    <vt:lpwstr>1</vt:lpwstr>
  </property>
  <property fmtid="{D5CDD505-2E9C-101B-9397-08002B2CF9AE}" pid="12" name="MSIP_Label_00f7727a-510c-40ce-a418-7fdfc8e6513f_Tag">
    <vt:lpwstr>10, 3, 0, 1</vt:lpwstr>
  </property>
</Properties>
</file>